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656"/>
        <w:gridCol w:w="14"/>
        <w:gridCol w:w="633"/>
        <w:gridCol w:w="12"/>
        <w:gridCol w:w="636"/>
        <w:gridCol w:w="13"/>
        <w:gridCol w:w="482"/>
        <w:gridCol w:w="6"/>
        <w:gridCol w:w="490"/>
        <w:gridCol w:w="486"/>
        <w:gridCol w:w="9"/>
        <w:gridCol w:w="2741"/>
        <w:gridCol w:w="25"/>
      </w:tblGrid>
      <w:tr>
        <w:trPr>
          <w:tblHeader w:val="true"/>
          <w:trHeight w:val="113" w:hRule="atLeast"/>
        </w:trPr>
        <w:tc>
          <w:tcPr>
            <w:tcW w:w="4656" w:type="dxa"/>
            <w:tcBorders>
              <w:top w:val="dotted" w:sz="4" w:space="0" w:color="000000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Descrizione requisito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Rife: OPS</w:t>
            </w:r>
          </w:p>
        </w:tc>
        <w:tc>
          <w:tcPr>
            <w:tcW w:w="648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Rife: OM</w:t>
            </w:r>
          </w:p>
        </w:tc>
        <w:tc>
          <w:tcPr>
            <w:tcW w:w="495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</w:t>
            </w:r>
          </w:p>
        </w:tc>
        <w:tc>
          <w:tcPr>
            <w:tcW w:w="496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FDG</w:t>
            </w:r>
          </w:p>
        </w:tc>
        <w:tc>
          <w:tcPr>
            <w:tcW w:w="495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</w:t>
            </w:r>
          </w:p>
        </w:tc>
        <w:tc>
          <w:tcPr>
            <w:tcW w:w="2741" w:type="dxa"/>
            <w:tcBorders>
              <w:top w:val="dotted" w:sz="4" w:space="0" w:color="000000"/>
              <w:left w:val="single" w:sz="6" w:space="0" w:color="FFFFFF"/>
              <w:bottom w:val="dotted" w:sz="4" w:space="0" w:color="000000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1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Proprietario del processo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Ha nominato e mantiene l’impresa di un: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Dirigente responsabile;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Dirigente per le operazioni di volo;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Dirigente per la formazione del personale;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Dirigente per le operazioni a terra e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Dirigente per il mantenimento dell’aeronavigabilita’.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ORO.GEN.210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ORO.AOC.135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ORO.AOC.135(c)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La responsabilità, </w:t>
            </w:r>
            <w:r>
              <w:rPr>
                <w:sz w:val="18"/>
              </w:rPr>
              <w:t>le competenze,</w:t>
            </w:r>
            <w:r>
              <w:rPr>
                <w:sz w:val="18"/>
              </w:rPr>
              <w:t xml:space="preserve"> i compiti e le mansioni dell'Accountable Manager sono definiti in modo esaustivo?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ORO.GEN.200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L’organizzazione riflette quella descritta sul manuale operativo?</w:t>
            </w:r>
          </w:p>
        </w:tc>
        <w:tc>
          <w:tcPr>
            <w:tcW w:w="645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ORO.GEN.210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ORO.AOC.135</w:t>
            </w:r>
          </w:p>
        </w:tc>
        <w:tc>
          <w:tcPr>
            <w:tcW w:w="649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rFonts w:ascii="sans-serif" w:hAnsi="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 xml:space="preserve">Adeguatezza e competenza del personale </w:t>
            </w:r>
            <w:r>
              <w:rPr>
                <w:sz w:val="18"/>
              </w:rPr>
              <w:t>E’ stato descritto sul manuale operativo i compiti e le responsabilita’?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ORO.GEN.210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La responsabilità, </w:t>
            </w:r>
            <w:r>
              <w:rPr>
                <w:sz w:val="18"/>
              </w:rPr>
              <w:t>le competenze,</w:t>
            </w:r>
            <w:r>
              <w:rPr>
                <w:sz w:val="18"/>
              </w:rPr>
              <w:t xml:space="preserve"> i compiti e le mansioni del </w:t>
            </w:r>
            <w:r>
              <w:rPr>
                <w:sz w:val="18"/>
              </w:rPr>
              <w:t xml:space="preserve">personale nominato </w:t>
            </w:r>
            <w:r>
              <w:rPr>
                <w:sz w:val="18"/>
              </w:rPr>
              <w:t>sono definiti in modo esaustivo?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Evidenza sull’adeguatezza e competenza del personale: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L'impresa impiega personale sufficiente per le operazioni a terra e di volo pianificate.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Tutto il personale assegnato o direttamente coinvolto nelle operazioni a terra e di volo:</w:t>
            </w:r>
          </w:p>
          <w:p>
            <w:pPr>
              <w:pStyle w:val="Normal"/>
              <w:widowControl w:val="false"/>
              <w:numPr>
                <w:ilvl w:val="2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viene adeguatamente addestrato;</w:t>
            </w:r>
          </w:p>
          <w:p>
            <w:pPr>
              <w:pStyle w:val="Normal"/>
              <w:widowControl w:val="false"/>
              <w:numPr>
                <w:ilvl w:val="2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dimostrare le proprie capacità nell'esecuzione dei compiti assegnati; e</w:t>
            </w:r>
          </w:p>
          <w:p>
            <w:pPr>
              <w:pStyle w:val="Normal"/>
              <w:widowControl w:val="false"/>
              <w:numPr>
                <w:ilvl w:val="2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e’ consapevole delle proprie responsabilità e del rapporto tra i propri compiti e l'operazione nel suo complesso.</w:t>
            </w:r>
          </w:p>
        </w:tc>
        <w:tc>
          <w:tcPr>
            <w:tcW w:w="645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ORO.AOC.135(b)</w:t>
            </w:r>
          </w:p>
        </w:tc>
        <w:tc>
          <w:tcPr>
            <w:tcW w:w="649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evidenza sulla supervvisione del personale: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L'impresa nomina un numero sufficiente di supervisori del personale, tenendo conto della struttura dell'organizzazione dell'operatore e del numero di personale impiegato.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 compiti e le responsabilità di questi supervisori sono stati definiti, e devono essere prese tutte le disposizioni necessarie per garantire che possano adempiere alle loro responsabilità di supervisione.</w:t>
            </w:r>
          </w:p>
          <w:p>
            <w:pPr>
              <w:pStyle w:val="Normal"/>
              <w:widowControl w:val="false"/>
              <w:numPr>
                <w:ilvl w:val="1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la supervisione dei membri dell'equipaggio e del personale coinvolto nell'operazione deve viene esercitata da individui con esperienza adeguata e le competenze necessarie per garantire il raggiungimento degli standard specificati nel manuale operativo.</w:t>
            </w:r>
          </w:p>
        </w:tc>
        <w:tc>
          <w:tcPr>
            <w:tcW w:w="645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ORO.AOC.135(c)</w:t>
            </w:r>
          </w:p>
        </w:tc>
        <w:tc>
          <w:tcPr>
            <w:tcW w:w="649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evidenza che le persone nominate: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a) La persona può ricoprire più di uno dei ruoli nominati se tale disposizione è considerata adeguata e proporzionata alla scala e all'ambito dell'operazione.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b) Una descrizione delle funzioni e delle responsabilità delle persone nominate, inclusi i loro nomi, viene contenuta nel manuale operativo.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c) i nominativi dei deputy volto a coprire la supervisione in assenza delle persone nominate.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d) La persona nominata non ha simili incarichi c/o un altro titolare di un COA, salvo accordo con le autorità competenti interessate.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e) Le persone nominate vengono contrattate per lavorare un numero sufficiente di ore per adempiere alle funzioni gestionali associate alla scala e all'ambito dell'impresa.</w:t>
            </w:r>
          </w:p>
        </w:tc>
        <w:tc>
          <w:tcPr>
            <w:tcW w:w="645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AMC1 ORO.AOC.135(a)</w:t>
            </w:r>
          </w:p>
        </w:tc>
        <w:tc>
          <w:tcPr>
            <w:tcW w:w="649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Evidenza che la CAMO possiede quanto segue: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a) esperienza pratica e competenza nell'applicazione degli standard di sicurezza aerea e delle pratiche operative sicure;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b) conoscenza approfondita di: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1080" w:hanging="0"/>
              <w:rPr>
                <w:sz w:val="18"/>
              </w:rPr>
            </w:pPr>
            <w:r>
              <w:rPr>
                <w:sz w:val="18"/>
              </w:rPr>
              <w:t>i) le parti pertinenti dei requisiti e delle procedure operative;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1080" w:hanging="0"/>
              <w:rPr>
                <w:sz w:val="18"/>
              </w:rPr>
            </w:pPr>
            <w:r>
              <w:rPr>
                <w:sz w:val="18"/>
              </w:rPr>
              <w:t>ii) le specifiche operative del titolare del certificato di operatore aereo (AOC);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1080" w:hanging="0"/>
              <w:rPr>
                <w:sz w:val="18"/>
              </w:rPr>
            </w:pPr>
            <w:r>
              <w:rPr>
                <w:sz w:val="18"/>
              </w:rPr>
              <w:t>iii) le parti pertinenti del manuale operativo del titolare dell'AOC; 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1080" w:hanging="0"/>
              <w:rPr>
                <w:sz w:val="18"/>
              </w:rPr>
            </w:pPr>
            <w:r>
              <w:rPr>
                <w:sz w:val="18"/>
              </w:rPr>
              <w:t>iv) le parti pertinenti dell'esposizione sulla gestione della navigabilità continua (CAME) del CAMO contrattato;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c) conoscenza di: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1080" w:hanging="0"/>
              <w:rPr>
                <w:sz w:val="18"/>
              </w:rPr>
            </w:pPr>
            <w:r>
              <w:rPr>
                <w:sz w:val="18"/>
              </w:rPr>
              <w:t>i) principi dei fattori umani (HF); 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1080" w:hanging="0"/>
              <w:rPr>
                <w:sz w:val="18"/>
              </w:rPr>
            </w:pPr>
            <w:r>
              <w:rPr>
                <w:sz w:val="18"/>
              </w:rPr>
              <w:t>ii) sistema di gestione della sicurezza (SMS) basato sui requisiti del sistema di gestione dell'UE (inclusa la monitoraggio della conformità) e sull'Annesso 19 dell'Organizzazione Internazionale dell'Aviazione Civile (ICAO);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d) 5 anni di esperienza lavorativa pertinente, di cui almeno 2 anni in una posizione appropriata nell'industria aeronautica;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e) una laurea pertinente in ingegneria o tecnica, o una qualifica di tecnico della manutenzione aeronautica con un'ulteriore formazione accettabile per l'enac; questa condizione può essere sostituita da 3 anni di esperienza aggiuntivi rispetto a quelli specificati al punto (d); tali 3 anni dovrebbero includere un'adeguata combinazione di esperienza in compiti relativi alla manutenzione degli aeromobili e/o alla gestione della navigabilità continua e/o alla sorveglianza di tali compiti.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f) conoscenza approfondita di: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1080" w:hanging="0"/>
              <w:rPr>
                <w:sz w:val="18"/>
              </w:rPr>
            </w:pPr>
            <w:r>
              <w:rPr>
                <w:sz w:val="18"/>
              </w:rPr>
              <w:t>i) il contratto di gestione della continuità dell'aeronavigabilità;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1080" w:hanging="0"/>
              <w:rPr>
                <w:sz w:val="18"/>
              </w:rPr>
            </w:pPr>
            <w:r>
              <w:rPr>
                <w:sz w:val="18"/>
              </w:rPr>
              <w:t>ii) le interfacce dei sistemi di gestione dell'organizzazione; 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1080" w:hanging="0"/>
              <w:rPr>
                <w:sz w:val="18"/>
              </w:rPr>
            </w:pPr>
            <w:r>
              <w:rPr>
                <w:sz w:val="18"/>
              </w:rPr>
              <w:t>iii) il modo di achieving l'armonizzazione di quei sistemi di gestione;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g) conoscenza di un campione rilevante del tipo(i) di aeromobili operati dall'organizzazione, acquisita attraverso un corso di formazione formalizzato; tale corso dovrebbe essere almeno a un livello equivalente alla Parte-66 (Allegato III al Regolamento (UE) n. 1321/2014), Appendice III, Livello 1 ‘Familiarizzazione Generale’ e può essere fornito da un'organizzazione Parte-147 (Allegato IV al Regolamento (UE) n. 1321/2014), dal produttore, dal CAMO, o da qualsiasi altra organizzazione accettata dall'autorità competente; ‘campione rilevante’ significa che il corso correlato dovrebbe coprire aeromobili tipici e sistemi di aeromobili operati dall'organizzazione; e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360" w:hanging="0"/>
              <w:rPr>
                <w:sz w:val="18"/>
              </w:rPr>
            </w:pPr>
            <w:r>
              <w:rPr>
                <w:sz w:val="18"/>
              </w:rPr>
              <w:t>h) conoscenza del Regolamento (UE) n. 1321/2014.</w:t>
            </w:r>
          </w:p>
        </w:tc>
        <w:tc>
          <w:tcPr>
            <w:tcW w:w="645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AMC1 ORO.AOC.135(a)(4)</w:t>
            </w:r>
          </w:p>
        </w:tc>
        <w:tc>
          <w:tcPr>
            <w:tcW w:w="649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un planning delle attività Flight Operations previste per il 2025?</w:t>
            </w:r>
          </w:p>
        </w:tc>
        <w:tc>
          <w:tcPr>
            <w:tcW w:w="645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Il Flight Operations PH porta avanti le proprie mansioni secondo quanto previsto sul OM?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 fleet manager (se applicabile) riescono a supervisionare le flotte in maniera efficace?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Esiste un elenco delle persone addette alla supervisioni?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App. 2 to 1.175 (c,3)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I compiti e responsabilità dei supervisori sono stati definiti?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App. 2 to 1.175 (c,3)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Da chi vengono programmati e supervisionati i voli?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L’ufficio supporto operativo e’ stato adeguatamente formato e controllato? Esistono dei records?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Come vengono schedulati gli equipaggi?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 xml:space="preserve">Lo schema dei tempi di volo e di servizio sono in linea con la </w:t>
            </w:r>
            <w:hyperlink r:id="rId2">
              <w:r>
                <w:rPr>
                  <w:rStyle w:val="InternetLink"/>
                  <w:sz w:val="18"/>
                </w:rPr>
                <w:t>normativa nazionale vigente</w:t>
              </w:r>
            </w:hyperlink>
            <w:r>
              <w:rPr>
                <w:sz w:val="18"/>
              </w:rPr>
              <w:t>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Reg. (ue) 965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Article 8 - Flight time limitations  (3)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Subpart Q of annex III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 7</w:t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sz w:val="18"/>
              </w:rPr>
            </w:pPr>
            <w:r>
              <w:rPr>
                <w:sz w:val="18"/>
              </w:rPr>
              <w:t>E’ stata prevista una formazione ricorrente dei dirigenti?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ORO.GEN.200(4)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  <w:t>È stato definito un processo che affronta la valutazione proattiva e reattiva di strutture, attrezzature, documentazione e procedure?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ORO.GEN.200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CAMO.A.200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  <w:t>È stato definito un processo di utilizzo dei risultati delle valutazioni per migliorare il sistema?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ORO.GEN.200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CAMO.A.200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  <w:t xml:space="preserve">È stato definito un processo di 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  <w:t>formazione sul sistema di gestione, iniziale e ricorrente, basico e avanzato (che affranta il tema della maturita’ dell’ MS), suddiviso per mansioni e livelli di funzione organizzativa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  <w:t>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ORO.GEN.200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CAMO.A.200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  <w:t xml:space="preserve">Si basa la 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  <w:t>formazione continua sul sistema di gestione su un'analisi sistematica dei dati fattuali e dei risultati derivanti dalla gestione della s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  <w:t>afety</w:t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it-IT" w:eastAsia="it-IT" w:bidi="ar-SA"/>
              </w:rPr>
              <w:t>, della conformità, della rendicontazione e dei risultati dal sistema di reporting e feedback e dalla valutazione della gestione?</w:t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ORO.GEN.200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CAMO.A.200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i/>
                <w:i/>
                <w:sz w:val="18"/>
              </w:rPr>
            </w:pPr>
            <w:r>
              <w:rPr>
                <w:b/>
                <w:i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45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75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</w:tbl>
    <w:p>
      <w:pPr>
        <w:pStyle w:val="Normal"/>
        <w:spacing w:before="0" w:after="0"/>
        <w:rPr>
          <w:sz w:val="1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418" w:footer="340" w:bottom="6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Univers">
    <w:charset w:val="01"/>
    <w:family w:val="roman"/>
    <w:pitch w:val="variable"/>
  </w:font>
  <w:font w:name="Arial MT Black"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 w:val="false"/>
        <w:b w:val="false"/>
        <w:sz w:val="18"/>
        <w:lang w:val="en-US"/>
      </w:rPr>
    </w:pPr>
    <w:r>
      <w:rPr>
        <w:b w:val="false"/>
        <w:sz w:val="18"/>
        <w:lang w:val="en-US"/>
      </w:rPr>
      <w:fldChar w:fldCharType="begin"/>
    </w:r>
    <w:r>
      <w:rPr>
        <w:sz w:val="18"/>
        <w:b w:val="false"/>
        <w:lang w:val="en-US"/>
      </w:rPr>
      <w:instrText xml:space="preserve"> FILENAME </w:instrText>
    </w:r>
    <w:r>
      <w:rPr>
        <w:sz w:val="18"/>
        <w:b w:val="false"/>
        <w:lang w:val="en-US"/>
      </w:rPr>
      <w:fldChar w:fldCharType="separate"/>
    </w:r>
    <w:r>
      <w:rPr>
        <w:sz w:val="18"/>
        <w:b w:val="false"/>
        <w:lang w:val="en-US"/>
      </w:rPr>
      <w:t>Q-04 (07-25) 34 Management personnel and operations co-ordination r0.docx</w:t>
    </w:r>
    <w:r>
      <w:rPr>
        <w:sz w:val="18"/>
        <w:b w:val="false"/>
        <w:lang w:val="en-U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79" w:type="dxa"/>
      <w:jc w:val="left"/>
      <w:tblInd w:w="70" w:type="dxa"/>
      <w:tblLayout w:type="fixed"/>
      <w:tblCellMar>
        <w:top w:w="0" w:type="dxa"/>
        <w:left w:w="71" w:type="dxa"/>
        <w:bottom w:w="0" w:type="dxa"/>
        <w:right w:w="71" w:type="dxa"/>
      </w:tblCellMar>
      <w:tblLook w:val="0000"/>
    </w:tblPr>
    <w:tblGrid>
      <w:gridCol w:w="1844"/>
      <w:gridCol w:w="424"/>
      <w:gridCol w:w="4821"/>
      <w:gridCol w:w="566"/>
      <w:gridCol w:w="992"/>
      <w:gridCol w:w="1631"/>
    </w:tblGrid>
    <w:tr>
      <w:trPr/>
      <w:tc>
        <w:tcPr>
          <w:tcW w:w="1844" w:type="dxa"/>
          <w:vMerge w:val="restart"/>
          <w:tcBorders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tabs>
              <w:tab w:val="center" w:pos="-1985" w:leader="none"/>
              <w:tab w:val="center" w:pos="4819" w:leader="none"/>
              <w:tab w:val="right" w:pos="9638" w:leader="none"/>
            </w:tabs>
            <w:spacing w:before="0" w:after="0"/>
            <w:jc w:val="center"/>
            <w:rPr>
              <w:rFonts w:ascii="Univers" w:hAnsi="Univers"/>
              <w:b/>
              <w:b/>
              <w:spacing w:val="32"/>
              <w:sz w:val="22"/>
              <w:lang w:val="en-US"/>
            </w:rPr>
          </w:pPr>
          <w:r>
            <w:rPr>
              <w:rFonts w:ascii="Univers" w:hAnsi="Univers"/>
              <w:sz w:val="18"/>
              <w:lang w:val="en-US"/>
            </w:rPr>
            <w:t>(CMS)</w:t>
          </w:r>
        </w:p>
      </w:tc>
      <w:tc>
        <w:tcPr>
          <w:tcW w:w="6803" w:type="dxa"/>
          <w:gridSpan w:val="4"/>
          <w:tcBorders>
            <w:right w:val="dotted" w:sz="4" w:space="0" w:color="000000"/>
          </w:tcBorders>
          <w:vAlign w:val="center"/>
        </w:tcPr>
        <w:p>
          <w:pPr>
            <w:pStyle w:val="Lettera"/>
            <w:widowControl w:val="false"/>
            <w:spacing w:before="0" w:after="0"/>
            <w:jc w:val="center"/>
            <w:rPr>
              <w:rFonts w:ascii="Arial MT Black" w:hAnsi="Arial MT Black"/>
              <w:b/>
              <w:b/>
              <w:spacing w:val="80"/>
              <w:sz w:val="22"/>
            </w:rPr>
          </w:pPr>
          <w:r>
            <w:rPr>
              <w:rFonts w:ascii="Arial MT Black" w:hAnsi="Arial MT Black"/>
              <w:b/>
              <w:spacing w:val="80"/>
              <w:sz w:val="22"/>
            </w:rPr>
            <w:t>LISTA DI VERIFICA</w:t>
          </w:r>
        </w:p>
      </w:tc>
      <w:tc>
        <w:tcPr>
          <w:tcW w:w="1631" w:type="dxa"/>
          <w:tcBorders>
            <w:bottom w:val="single" w:sz="4" w:space="0" w:color="A6A6A6"/>
          </w:tcBorders>
          <w:vAlign w:val="center"/>
        </w:tcPr>
        <w:p>
          <w:pPr>
            <w:pStyle w:val="Title"/>
            <w:widowControl w:val="false"/>
            <w:spacing w:before="0" w:after="0"/>
            <w:jc w:val="left"/>
            <w:rPr>
              <w:b w:val="false"/>
              <w:b w:val="false"/>
              <w:caps w:val="false"/>
              <w:smallCaps w:val="false"/>
              <w:sz w:val="16"/>
              <w:szCs w:val="16"/>
            </w:rPr>
          </w:pPr>
          <w:r>
            <w:rPr>
              <w:b w:val="false"/>
              <w:i w:val="false"/>
              <w:caps w:val="false"/>
              <w:smallCaps w:val="false"/>
              <w:sz w:val="16"/>
              <w:szCs w:val="16"/>
            </w:rPr>
            <w:t>no.</w:t>
          </w:r>
        </w:p>
      </w:tc>
    </w:tr>
    <w:tr>
      <w:trPr/>
      <w:tc>
        <w:tcPr>
          <w:tcW w:w="1844" w:type="dxa"/>
          <w:vMerge w:val="continue"/>
          <w:tcBorders>
            <w:bottom w:val="single" w:sz="18" w:space="0" w:color="A6A6A6"/>
            <w:right w:val="dotted" w:sz="4" w:space="0" w:color="000000"/>
          </w:tcBorders>
        </w:tcPr>
        <w:p>
          <w:pPr>
            <w:pStyle w:val="Contents1"/>
            <w:widowControl w:val="false"/>
            <w:tabs>
              <w:tab w:val="center" w:pos="-1985" w:leader="none"/>
              <w:tab w:val="right" w:pos="8840" w:leader="none"/>
            </w:tabs>
            <w:spacing w:before="0" w:after="0"/>
            <w:jc w:val="center"/>
            <w:rPr>
              <w:rFonts w:ascii="Wingdings" w:hAnsi="Wingdings"/>
              <w:b w:val="false"/>
              <w:b w:val="false"/>
              <w:sz w:val="20"/>
            </w:rPr>
          </w:pPr>
          <w:r>
            <w:rPr>
              <w:rFonts w:ascii="Wingdings" w:hAnsi="Wingdings"/>
              <w:b w:val="false"/>
              <w:sz w:val="20"/>
            </w:rPr>
          </w:r>
        </w:p>
      </w:tc>
      <w:tc>
        <w:tcPr>
          <w:tcW w:w="424" w:type="dxa"/>
          <w:tcBorders>
            <w:top w:val="dotted" w:sz="4" w:space="0" w:color="000000"/>
          </w:tcBorders>
        </w:tcPr>
        <w:p>
          <w:pPr>
            <w:pStyle w:val="Header"/>
            <w:widowControl w:val="false"/>
            <w:spacing w:before="0" w:after="0"/>
            <w:rPr>
              <w:i/>
              <w:i/>
              <w:sz w:val="16"/>
            </w:rPr>
          </w:pPr>
          <w:r>
            <w:rPr>
              <w:i/>
              <w:sz w:val="16"/>
            </w:rPr>
            <w:t>no.</w:t>
          </w:r>
        </w:p>
      </w:tc>
      <w:tc>
        <w:tcPr>
          <w:tcW w:w="4821" w:type="dxa"/>
          <w:tcBorders>
            <w:top w:val="dotted" w:sz="4" w:space="0" w:color="000000"/>
          </w:tcBorders>
        </w:tcPr>
        <w:p>
          <w:pPr>
            <w:pStyle w:val="Header"/>
            <w:widowControl w:val="false"/>
            <w:spacing w:before="0" w:after="0"/>
            <w:rPr>
              <w:i/>
              <w:i/>
              <w:sz w:val="16"/>
            </w:rPr>
          </w:pPr>
          <w:r>
            <w:rPr>
              <w:i/>
              <w:sz w:val="16"/>
            </w:rPr>
            <w:t>Titolo</w:t>
          </w:r>
        </w:p>
      </w:tc>
      <w:tc>
        <w:tcPr>
          <w:tcW w:w="566" w:type="dxa"/>
          <w:tcBorders>
            <w:top w:val="dotted" w:sz="4" w:space="0" w:color="000000"/>
            <w:left w:val="dotted" w:sz="4" w:space="0" w:color="000000"/>
            <w:right w:val="dotted" w:sz="4" w:space="0" w:color="000000"/>
          </w:tcBorders>
        </w:tcPr>
        <w:p>
          <w:pPr>
            <w:pStyle w:val="Header"/>
            <w:widowControl w:val="false"/>
            <w:spacing w:before="0" w:after="0"/>
            <w:jc w:val="center"/>
            <w:rPr>
              <w:i/>
              <w:i/>
              <w:sz w:val="16"/>
            </w:rPr>
          </w:pPr>
          <w:r>
            <w:rPr>
              <w:i/>
              <w:sz w:val="16"/>
            </w:rPr>
            <w:t>Rev.</w:t>
          </w:r>
        </w:p>
      </w:tc>
      <w:tc>
        <w:tcPr>
          <w:tcW w:w="992" w:type="dxa"/>
          <w:tcBorders>
            <w:top w:val="dotted" w:sz="4" w:space="0" w:color="000000"/>
            <w:right w:val="dotted" w:sz="4" w:space="0" w:color="000000"/>
          </w:tcBorders>
        </w:tcPr>
        <w:p>
          <w:pPr>
            <w:pStyle w:val="Header"/>
            <w:widowControl w:val="false"/>
            <w:spacing w:before="0" w:after="0"/>
            <w:jc w:val="center"/>
            <w:rPr>
              <w:i/>
              <w:i/>
              <w:sz w:val="16"/>
            </w:rPr>
          </w:pPr>
          <w:r>
            <w:rPr>
              <w:i/>
              <w:sz w:val="16"/>
            </w:rPr>
            <w:t>Data</w:t>
          </w:r>
        </w:p>
      </w:tc>
      <w:tc>
        <w:tcPr>
          <w:tcW w:w="1631" w:type="dxa"/>
          <w:tcBorders>
            <w:top w:val="single" w:sz="4" w:space="0" w:color="A6A6A6"/>
            <w:bottom w:val="single" w:sz="4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z w:val="16"/>
              <w:szCs w:val="16"/>
            </w:rPr>
          </w:pPr>
          <w:r>
            <w:rPr>
              <w:position w:val="-16"/>
              <w:sz w:val="16"/>
              <w:szCs w:val="16"/>
            </w:rPr>
            <w:t>data</w:t>
          </w:r>
        </w:p>
      </w:tc>
    </w:tr>
    <w:tr>
      <w:trPr/>
      <w:tc>
        <w:tcPr>
          <w:tcW w:w="1844" w:type="dxa"/>
          <w:vMerge w:val="continue"/>
          <w:tcBorders>
            <w:bottom w:val="single" w:sz="18" w:space="0" w:color="A6A6A6"/>
            <w:right w:val="dotted" w:sz="4" w:space="0" w:color="000000"/>
          </w:tcBorders>
        </w:tcPr>
        <w:p>
          <w:pPr>
            <w:pStyle w:val="Contents1"/>
            <w:widowControl w:val="false"/>
            <w:tabs>
              <w:tab w:val="center" w:pos="-1985" w:leader="none"/>
              <w:tab w:val="right" w:pos="8840" w:leader="none"/>
            </w:tabs>
            <w:spacing w:before="0" w:after="0"/>
            <w:jc w:val="center"/>
            <w:rPr>
              <w:i/>
              <w:i/>
              <w:sz w:val="18"/>
            </w:rPr>
          </w:pPr>
          <w:r>
            <w:rPr>
              <w:i/>
              <w:sz w:val="18"/>
            </w:rPr>
          </w:r>
        </w:p>
      </w:tc>
      <w:tc>
        <w:tcPr>
          <w:tcW w:w="424" w:type="dxa"/>
          <w:tcBorders>
            <w:bottom w:val="single" w:sz="18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rFonts w:ascii="Arial Narrow" w:hAnsi="Arial Narrow"/>
              <w:b/>
              <w:b/>
              <w:spacing w:val="20"/>
              <w:sz w:val="18"/>
              <w:szCs w:val="18"/>
            </w:rPr>
          </w:pPr>
          <w:r>
            <w:rPr>
              <w:rFonts w:ascii="Arial Narrow" w:hAnsi="Arial Narrow"/>
              <w:b/>
              <w:spacing w:val="20"/>
              <w:sz w:val="18"/>
              <w:szCs w:val="18"/>
            </w:rPr>
            <w:t>34</w:t>
          </w:r>
        </w:p>
      </w:tc>
      <w:tc>
        <w:tcPr>
          <w:tcW w:w="4821" w:type="dxa"/>
          <w:tcBorders>
            <w:bottom w:val="single" w:sz="18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z w:val="18"/>
              <w:szCs w:val="16"/>
              <w:lang w:val="en-US"/>
            </w:rPr>
          </w:pPr>
          <w:r>
            <w:rPr>
              <w:rFonts w:ascii="Arial MT Black" w:hAnsi="Arial MT Black"/>
              <w:b/>
              <w:sz w:val="18"/>
              <w:szCs w:val="18"/>
              <w:lang w:val="en-GB"/>
            </w:rPr>
            <w:t>Management personnel and operations co-ordination</w:t>
          </w:r>
        </w:p>
      </w:tc>
      <w:tc>
        <w:tcPr>
          <w:tcW w:w="566" w:type="dxa"/>
          <w:tcBorders>
            <w:left w:val="dotted" w:sz="4" w:space="0" w:color="000000"/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spacing w:before="0" w:after="0"/>
            <w:jc w:val="center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0</w:t>
          </w:r>
        </w:p>
      </w:tc>
      <w:tc>
        <w:tcPr>
          <w:tcW w:w="992" w:type="dxa"/>
          <w:tcBorders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15-02-25</w:t>
          </w:r>
        </w:p>
      </w:tc>
      <w:tc>
        <w:tcPr>
          <w:tcW w:w="1631" w:type="dxa"/>
          <w:tcBorders>
            <w:top w:val="single" w:sz="4" w:space="0" w:color="A6A6A6"/>
            <w:bottom w:val="single" w:sz="18" w:space="0" w:color="A6A6A6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018199245"/>
          </w:sdtPr>
          <w:sdtContent>
            <w:p>
              <w:pPr>
                <w:pStyle w:val="Normal"/>
                <w:widowControl w:val="false"/>
                <w:spacing w:before="0" w:after="0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Pagina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PAGE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di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NUMPAGES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4</w:t>
              </w:r>
              <w:r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>
    <w:pPr>
      <w:pStyle w:val="Normal"/>
      <w:spacing w:before="0" w:after="0"/>
      <w:rPr>
        <w:sz w:val="12"/>
      </w:rPr>
    </w:pPr>
    <w:r>
      <w:rPr>
        <w:sz w:val="12"/>
      </w:rPr>
    </w:r>
  </w:p>
  <w:p>
    <w:pPr>
      <w:pStyle w:val="Header"/>
      <w:spacing w:before="0" w:after="0"/>
      <w:rPr>
        <w:sz w:val="4"/>
      </w:rPr>
    </w:pPr>
    <w:r>
      <w:rPr>
        <w:sz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mirrorMargins/>
  <w:embedSystemFonts/>
  <w:defaultTabStop w:val="709"/>
  <w:mailMerge>
    <w:mainDocumentType w:val="formLetters"/>
    <w:dataType w:val="textFile"/>
    <w:query w:val="SELECT * FROM Addresses.dbo.Personal$"/>
  </w:mailMerge>
  <w:autoHyphenation w:val="true"/>
  <w:doNotHyphenateCaps/>
  <w:hyphenationZone w:val="283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b67e8"/>
    <w:pPr>
      <w:widowControl/>
      <w:suppressAutoHyphens w:val="true"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5b67e8"/>
    <w:pPr>
      <w:keepNext w:val="true"/>
      <w:spacing w:before="360" w:after="360"/>
      <w:jc w:val="center"/>
      <w:outlineLvl w:val="0"/>
    </w:pPr>
    <w:rPr>
      <w:rFonts w:ascii="Garamond" w:hAnsi="Garamond"/>
      <w:b/>
      <w:i/>
      <w:caps/>
      <w:spacing w:val="30"/>
      <w:kern w:val="2"/>
      <w:sz w:val="28"/>
      <w:u w:val="single"/>
    </w:rPr>
  </w:style>
  <w:style w:type="paragraph" w:styleId="Heading2">
    <w:name w:val="Heading 2"/>
    <w:basedOn w:val="Normal"/>
    <w:next w:val="Normal"/>
    <w:qFormat/>
    <w:rsid w:val="005b67e8"/>
    <w:pPr>
      <w:keepNext w:val="true"/>
      <w:spacing w:before="240" w:after="60"/>
      <w:ind w:left="992" w:hanging="99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5b67e8"/>
    <w:pPr>
      <w:keepNext w:val="true"/>
      <w:spacing w:before="12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5b67e8"/>
    <w:pPr>
      <w:keepNext w:val="true"/>
      <w:spacing w:before="120" w:after="80"/>
      <w:ind w:left="1416" w:hanging="708"/>
      <w:outlineLvl w:val="3"/>
    </w:pPr>
    <w:rPr>
      <w:rFonts w:ascii="Times New Roman" w:hAnsi="Times New Roman"/>
      <w:b/>
      <w:i/>
      <w:kern w:val="2"/>
      <w:sz w:val="24"/>
    </w:rPr>
  </w:style>
  <w:style w:type="paragraph" w:styleId="Heading5">
    <w:name w:val="Heading 5"/>
    <w:basedOn w:val="Normal"/>
    <w:next w:val="Normal"/>
    <w:qFormat/>
    <w:rsid w:val="005b67e8"/>
    <w:pPr>
      <w:keepNext w:val="true"/>
      <w:spacing w:before="120" w:after="80"/>
      <w:ind w:left="2124" w:hanging="708"/>
      <w:outlineLvl w:val="4"/>
    </w:pPr>
    <w:rPr>
      <w:b/>
      <w:kern w:val="2"/>
    </w:rPr>
  </w:style>
  <w:style w:type="paragraph" w:styleId="Heading6">
    <w:name w:val="Heading 6"/>
    <w:basedOn w:val="Normal"/>
    <w:next w:val="Normal"/>
    <w:qFormat/>
    <w:rsid w:val="005b67e8"/>
    <w:pPr>
      <w:keepNext w:val="true"/>
      <w:spacing w:before="120" w:after="80"/>
      <w:ind w:left="2832" w:hanging="708"/>
      <w:outlineLvl w:val="5"/>
    </w:pPr>
    <w:rPr>
      <w:b/>
      <w:i/>
      <w:kern w:val="2"/>
    </w:rPr>
  </w:style>
  <w:style w:type="paragraph" w:styleId="Heading7">
    <w:name w:val="Heading 7"/>
    <w:basedOn w:val="Normal"/>
    <w:next w:val="Normal"/>
    <w:qFormat/>
    <w:rsid w:val="005b67e8"/>
    <w:pPr>
      <w:keepNext w:val="true"/>
      <w:spacing w:before="80" w:after="60"/>
      <w:ind w:left="3540" w:hanging="708"/>
      <w:outlineLvl w:val="6"/>
    </w:pPr>
    <w:rPr>
      <w:rFonts w:ascii="Times New Roman" w:hAnsi="Times New Roman"/>
      <w:b/>
      <w:kern w:val="2"/>
    </w:rPr>
  </w:style>
  <w:style w:type="paragraph" w:styleId="Heading8">
    <w:name w:val="Heading 8"/>
    <w:basedOn w:val="Normal"/>
    <w:next w:val="Normal"/>
    <w:qFormat/>
    <w:rsid w:val="005b67e8"/>
    <w:pPr>
      <w:keepNext w:val="true"/>
      <w:spacing w:before="80" w:after="60"/>
      <w:ind w:left="4248" w:hanging="708"/>
      <w:outlineLvl w:val="7"/>
    </w:pPr>
    <w:rPr>
      <w:rFonts w:ascii="Times New Roman" w:hAnsi="Times New Roman"/>
      <w:b/>
      <w:i/>
      <w:kern w:val="2"/>
    </w:rPr>
  </w:style>
  <w:style w:type="paragraph" w:styleId="Heading9">
    <w:name w:val="Heading 9"/>
    <w:basedOn w:val="Normal"/>
    <w:next w:val="Normal"/>
    <w:qFormat/>
    <w:rsid w:val="005b67e8"/>
    <w:pPr>
      <w:keepNext w:val="true"/>
      <w:spacing w:before="80" w:after="60"/>
      <w:ind w:left="4956" w:hanging="708"/>
      <w:outlineLvl w:val="8"/>
    </w:pPr>
    <w:rPr>
      <w:rFonts w:ascii="Times New Roman" w:hAnsi="Times New Roman"/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b67e8"/>
    <w:rPr>
      <w:rFonts w:ascii="Arial" w:hAnsi="Arial"/>
      <w:b/>
      <w:sz w:val="20"/>
      <w:u w:val="none"/>
    </w:rPr>
  </w:style>
  <w:style w:type="character" w:styleId="TestofumettoCarattere" w:customStyle="1">
    <w:name w:val="Testo fumetto Carattere"/>
    <w:basedOn w:val="DefaultParagraphFont"/>
    <w:link w:val="BalloonText"/>
    <w:qFormat/>
    <w:rsid w:val="007c700e"/>
    <w:rPr>
      <w:rFonts w:ascii="Tahoma" w:hAnsi="Tahoma" w:cs="Tahoma"/>
      <w:sz w:val="16"/>
      <w:szCs w:val="1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5b67e8"/>
    <w:pPr>
      <w:ind w:left="709" w:hanging="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5b67e8"/>
    <w:pPr>
      <w:tabs>
        <w:tab w:val="clear" w:pos="709"/>
        <w:tab w:val="center" w:pos="4819" w:leader="none"/>
        <w:tab w:val="right" w:pos="9638" w:leader="none"/>
      </w:tabs>
      <w:spacing w:before="0" w:after="0"/>
    </w:pPr>
    <w:rPr>
      <w:b/>
    </w:rPr>
  </w:style>
  <w:style w:type="paragraph" w:styleId="Contents1">
    <w:name w:val="TOC 1"/>
    <w:basedOn w:val="Normal"/>
    <w:next w:val="Normal"/>
    <w:semiHidden/>
    <w:rsid w:val="005b67e8"/>
    <w:pPr>
      <w:tabs>
        <w:tab w:val="clear" w:pos="709"/>
        <w:tab w:val="right" w:pos="8840" w:leader="none"/>
      </w:tabs>
      <w:spacing w:before="120" w:after="120"/>
    </w:pPr>
    <w:rPr>
      <w:b/>
      <w:caps/>
      <w:sz w:val="24"/>
    </w:rPr>
  </w:style>
  <w:style w:type="paragraph" w:styleId="Header">
    <w:name w:val="Header"/>
    <w:basedOn w:val="Normal"/>
    <w:rsid w:val="005b67e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Lettera" w:customStyle="1">
    <w:name w:val="Lettera"/>
    <w:basedOn w:val="Normal"/>
    <w:qFormat/>
    <w:rsid w:val="005b67e8"/>
    <w:pPr/>
    <w:rPr/>
  </w:style>
  <w:style w:type="paragraph" w:styleId="Title">
    <w:name w:val="Title"/>
    <w:basedOn w:val="Normal"/>
    <w:next w:val="Normal"/>
    <w:qFormat/>
    <w:rsid w:val="005b67e8"/>
    <w:pPr>
      <w:spacing w:before="240" w:after="480"/>
      <w:jc w:val="center"/>
    </w:pPr>
    <w:rPr>
      <w:b/>
      <w:i/>
      <w:smallCaps/>
      <w:kern w:val="2"/>
      <w:sz w:val="24"/>
    </w:rPr>
  </w:style>
  <w:style w:type="paragraph" w:styleId="BalloonText">
    <w:name w:val="Balloon Text"/>
    <w:basedOn w:val="Normal"/>
    <w:link w:val="TestofumettoCarattere"/>
    <w:qFormat/>
    <w:rsid w:val="007c700e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nac.gov.it/sicurezza-aerea/operazioni-di-volo/flight-time-limitations-ftl/applicabilita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Application>LibreOffice/7.4.7.2$Linux_X86_64 LibreOffice_project/40$Build-2</Application>
  <AppVersion>15.0000</AppVersion>
  <Pages>4</Pages>
  <Words>1015</Words>
  <Characters>6139</Characters>
  <CharactersWithSpaces>7017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2009-01-26T22:27:00Z</dcterms:created>
  <dc:creator>Francesco DAMASSO</dc:creator>
  <dc:description/>
  <dc:language>en-GB</dc:language>
  <cp:lastModifiedBy/>
  <cp:lastPrinted>2009-01-28T14:37:00Z</cp:lastPrinted>
  <dcterms:modified xsi:type="dcterms:W3CDTF">2025-03-23T20:55:19Z</dcterms:modified>
  <cp:revision>32</cp:revision>
  <dc:subject/>
  <dc:title>Descrizione requisito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